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01601F3E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CC230B">
        <w:rPr>
          <w:rFonts w:eastAsia="Calibri"/>
          <w:color w:val="262626" w:themeColor="text1" w:themeTint="D9"/>
          <w:sz w:val="22"/>
          <w:szCs w:val="22"/>
          <w:lang w:eastAsia="en-US"/>
        </w:rPr>
        <w:t>7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1C6D2486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CC230B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C230B">
        <w:rPr>
          <w:b/>
          <w:bCs/>
          <w:color w:val="262626" w:themeColor="text1" w:themeTint="D9"/>
          <w:sz w:val="28"/>
          <w:szCs w:val="28"/>
          <w:lang w:eastAsia="en-US"/>
        </w:rPr>
        <w:t>srp</w:t>
      </w:r>
      <w:r w:rsidR="002907C1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4891EAF9" w14:textId="3C9F7EC2" w:rsidR="00F23AC6" w:rsidRDefault="00CC230B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Změna zřizovací listiny příspěvkové organizace Zdravotnická záchranná služba Libereckého kraje, příspěvková organizace</w:t>
      </w:r>
    </w:p>
    <w:p w14:paraId="37CD350E" w14:textId="2A153275" w:rsidR="00C42864" w:rsidRDefault="00182CCF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Záštita</w:t>
      </w:r>
      <w:r w:rsidR="00CC230B">
        <w:rPr>
          <w:iCs/>
          <w:color w:val="262626" w:themeColor="text1" w:themeTint="D9"/>
          <w:sz w:val="22"/>
          <w:szCs w:val="22"/>
          <w:lang w:eastAsia="en-US"/>
        </w:rPr>
        <w:t xml:space="preserve"> Krajská nemocnice Liberec, a.s. – Den liberecké kardiologie 2023 a 20 let kardiologie Liberec</w:t>
      </w:r>
    </w:p>
    <w:p w14:paraId="1B093F77" w14:textId="1A93B43E" w:rsidR="00CC230B" w:rsidRDefault="00CC230B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ZR-RO č. 254/23 – úpravy kapitoly 917 09 Transfery, 912 09 Účelové příspěvky PO – záštity Zdravotnická záchranná služba Libereckého kraje, příspěvková organizace</w:t>
      </w:r>
    </w:p>
    <w:p w14:paraId="7F3D98B4" w14:textId="69FEA504" w:rsidR="005A54CD" w:rsidRDefault="005A54CD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A54CD">
        <w:rPr>
          <w:iCs/>
          <w:color w:val="262626" w:themeColor="text1" w:themeTint="D9"/>
          <w:sz w:val="22"/>
          <w:szCs w:val="22"/>
          <w:lang w:eastAsia="en-US"/>
        </w:rPr>
        <w:t>Dohoda mezi bankou a Libereckým krajem – revolvingový úvěr pro MMN, a. s.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6941893E" w14:textId="7A7695DE" w:rsidR="00F23AC6" w:rsidRPr="00AF4E05" w:rsidRDefault="00CC230B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Zpráva o ukončení realizace projektů „Snížení energetické náročnosti pavilonu C – Léčebna respiračních nemocí Cvikov, příspěvková organizace“, „Zlepšení tepelně technických vlastností budov Střední odborné školy a Středního odborného učiliště v České Lípě, pavilon B v ulici 28. října“ a „Udržitelné hospodaření s vodou v Obchodní akademii Česká Lípa“</w:t>
      </w:r>
    </w:p>
    <w:p w14:paraId="3D29B8AE" w14:textId="3DC88209" w:rsidR="00AF4E05" w:rsidRPr="00CC230B" w:rsidRDefault="00CC230B" w:rsidP="00AF4E05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RO č. 235/23 – navýšení kapitoly 917 09 Transfery, zdravotnictví – poskytnutí neinvestičních prostředků ze státního rozpočtu – krizová připravenost</w:t>
      </w:r>
    </w:p>
    <w:p w14:paraId="1455EFC9" w14:textId="0A369733" w:rsidR="00CC230B" w:rsidRPr="00FA24F0" w:rsidRDefault="00CC230B" w:rsidP="00AF4E05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RO č. 262/23 – úprava kapitoly 914 09 Působnosti, lékárenská pohotovost</w:t>
      </w:r>
    </w:p>
    <w:p w14:paraId="1B330991" w14:textId="0AF1634C" w:rsidR="00FA24F0" w:rsidRPr="00FA24F0" w:rsidRDefault="00FA24F0" w:rsidP="00AF4E05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FA24F0">
        <w:rPr>
          <w:iCs/>
          <w:color w:val="262626" w:themeColor="text1" w:themeTint="D9"/>
          <w:sz w:val="22"/>
          <w:szCs w:val="22"/>
          <w:lang w:eastAsia="en-US"/>
        </w:rPr>
        <w:t>Zpráva o ukončení realizace projektů „Školy bez bariér – Gymnázium Jablonec n. N., U Balvanu 16, p.o. “</w:t>
      </w:r>
      <w:r w:rsidR="0084277E">
        <w:rPr>
          <w:iCs/>
          <w:color w:val="262626" w:themeColor="text1" w:themeTint="D9"/>
          <w:sz w:val="22"/>
          <w:szCs w:val="22"/>
          <w:lang w:eastAsia="en-US"/>
        </w:rPr>
        <w:t xml:space="preserve">, </w:t>
      </w:r>
      <w:r w:rsidRPr="00FA24F0">
        <w:rPr>
          <w:iCs/>
          <w:color w:val="262626" w:themeColor="text1" w:themeTint="D9"/>
          <w:sz w:val="22"/>
          <w:szCs w:val="22"/>
          <w:lang w:eastAsia="en-US"/>
        </w:rPr>
        <w:t>„Školy bez bariér – Gymnázium Dr. Antona Randy, Jablonec n. N., p.o. a „ZZS LK - Pořízení vozidla HART a videolaryngoskopů“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57E9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9</cp:revision>
  <cp:lastPrinted>2023-08-16T06:03:00Z</cp:lastPrinted>
  <dcterms:created xsi:type="dcterms:W3CDTF">2023-08-02T07:34:00Z</dcterms:created>
  <dcterms:modified xsi:type="dcterms:W3CDTF">2023-08-16T08:34:00Z</dcterms:modified>
</cp:coreProperties>
</file>